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SKtablestyle"/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80"/>
      </w:tblPr>
      <w:tblGrid>
        <w:gridCol w:w="5210"/>
        <w:gridCol w:w="5209"/>
      </w:tblGrid>
      <w:tr>
        <w:trPr>
          <w:trHeight w:val="259" w:hRule="atLeast"/>
          <w:cnfStyle w:val="0000001000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Název sch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Datum</w:t>
            </w:r>
          </w:p>
        </w:tc>
      </w:tr>
      <w:tr>
        <w:trPr>
          <w:cnfStyle w:val="0000000100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 xml:space="preserve">Risk Management </w:t>
            </w:r>
            <w:r>
              <w:rPr>
                <w:color w:val="635A54" w:themeColor="text1"/>
                <w:sz w:val="20"/>
                <w:lang w:val="en-US"/>
              </w:rPr>
              <w:t>&amp;</w:t>
            </w:r>
            <w:r>
              <w:rPr>
                <w:color w:val="635A54" w:themeColor="text1"/>
                <w:sz w:val="20"/>
                <w:lang w:val="cs-CZ"/>
              </w:rPr>
              <w:t xml:space="preserve"> Compliance Board</w:t>
            </w:r>
            <w:r>
              <w:rPr>
                <w:color w:val="635A54" w:themeColor="text1"/>
                <w:sz w:val="20"/>
              </w:rPr>
              <w:t xml:space="preserve">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18.dubna 2016  v 19hod</w:t>
            </w:r>
          </w:p>
        </w:tc>
      </w:tr>
      <w:tr>
        <w:trPr>
          <w:trHeight w:val="259" w:hRule="atLeast"/>
          <w:cnfStyle w:val="0000001000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Přítomni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Cíl</w:t>
            </w:r>
          </w:p>
        </w:tc>
      </w:tr>
      <w:tr>
        <w:trPr>
          <w:cnfStyle w:val="0000000100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Hofi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Maky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Petr a Renča M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 xml:space="preserve">Filip 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Libuš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Zbyněk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Hanka L.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Lucie S.</w:t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Martina V.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b w:val="false"/>
                <w:b w:val="false"/>
                <w:color w:val="635A54" w:themeColor="text1"/>
              </w:rPr>
            </w:pPr>
            <w:r>
              <w:rPr>
                <w:b w:val="false"/>
                <w:color w:val="635A54" w:themeColor="text1"/>
                <w:sz w:val="20"/>
              </w:rPr>
              <w:t>Co budeme natáčet?</w:t>
            </w:r>
          </w:p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Kde</w:t>
            </w:r>
          </w:p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b w:val="false"/>
                <w:color w:val="635A54" w:themeColor="text1"/>
                <w:sz w:val="20"/>
              </w:rPr>
              <w:t>Jiná krajina</w:t>
            </w:r>
          </w:p>
          <w:p>
            <w:pPr>
              <w:pStyle w:val="GSKagendaheader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SKtablestyle"/>
        <w:tblW w:w="107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428"/>
        <w:gridCol w:w="3500"/>
        <w:gridCol w:w="5843"/>
      </w:tblGrid>
      <w:tr>
        <w:trPr>
          <w:trHeight w:val="259" w:hRule="atLeast"/>
          <w:cnfStyle w:val="100000000000"/>
        </w:trPr>
        <w:tc>
          <w:tcPr>
            <w:tcW w:w="14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insideH w:val="single" w:sz="4" w:space="0" w:color="FFFFFF"/>
              <w:insideV w:val="nil"/>
            </w:tcBorders>
            <w:shd w:color="auto" w:fill="FF6600" w:themeFill="background2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Čas</w:t>
            </w:r>
          </w:p>
        </w:tc>
        <w:tc>
          <w:tcPr>
            <w:tcW w:w="35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insideH w:val="single" w:sz="4" w:space="0" w:color="FFFFFF"/>
              <w:insideV w:val="nil"/>
            </w:tcBorders>
            <w:shd w:color="auto" w:fill="FF6600" w:themeFill="background2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Popis</w:t>
            </w:r>
          </w:p>
        </w:tc>
        <w:tc>
          <w:tcPr>
            <w:tcW w:w="5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  <w:insideH w:val="single" w:sz="4" w:space="0" w:color="FFFFFF"/>
              <w:insideV w:val="nil"/>
            </w:tcBorders>
            <w:shd w:color="auto" w:fill="FF6600" w:themeFill="background2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Diskuse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19:10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Můj příchod.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V lokále už vysedávala čtveřice Hofi, Maky a Molčányiovci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Společně se mnou dorazil i Filip a Libuš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19:15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Příchod Zbyněk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 xml:space="preserve">Mezitím se LIbuš svěřuje s výchovou dívek v rodině. Nemá to lehké. </w:t>
            </w:r>
            <w:r>
              <w:rPr>
                <w:color w:val="FF0000"/>
                <w:sz w:val="20"/>
              </w:rPr>
              <w:t>Akce</w:t>
            </w:r>
            <w:r>
              <w:rPr>
                <w:color w:val="00B0F0"/>
                <w:sz w:val="20"/>
              </w:rPr>
              <w:t>: je potřeba pro Libuše zorganizovat další setkání, aby nemusel být doma.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19:24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Příchod Hanka L.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Dostává se ke slovu Maky, která se doma cítí fyzicky, jako páté kolo u vozu. I pro Markétu musíme zajistit dostatečný počet TVM akcí.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Filip popisuje svatbu. Poměr svatebčanů ženich a nevěsty 8:1</w:t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19:35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Představení variant, co by se dalo natáčet: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b/>
                <w:b/>
                <w:color w:val="FF0000"/>
              </w:rPr>
            </w:pPr>
            <w:r>
              <w:rPr>
                <w:color w:val="00B0F0"/>
                <w:sz w:val="20"/>
              </w:rPr>
              <w:t>Jára Dobrman a jeho Velke glavy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b/>
                <w:b/>
                <w:color w:val="FF0000"/>
              </w:rPr>
            </w:pPr>
            <w:r>
              <w:rPr>
                <w:color w:val="00B0F0"/>
                <w:sz w:val="20"/>
              </w:rPr>
              <w:t>Legenda o hradě Houska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b/>
                <w:b/>
                <w:color w:val="FF0000"/>
              </w:rPr>
            </w:pPr>
            <w:r>
              <w:rPr>
                <w:color w:val="00B0F0"/>
                <w:sz w:val="20"/>
              </w:rPr>
              <w:t>Mord z 1.republiky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b/>
                <w:b/>
                <w:color w:val="FF0000"/>
              </w:rPr>
            </w:pPr>
            <w:r>
              <w:rPr>
                <w:color w:val="00B0F0"/>
                <w:sz w:val="20"/>
              </w:rPr>
              <w:t>Notoricky známé pohádky v různých formátech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  <w:t>19:50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 xml:space="preserve">Zbyněk vypráví, jak měl rozhovor se synem, pravděpodobně mezi vrstevníky málo doceněným – navrhuje mu sejít se s TVM. </w:t>
            </w:r>
            <w:r>
              <w:rPr>
                <w:color w:val="FF0000"/>
                <w:sz w:val="20"/>
              </w:rPr>
              <w:t>Akce</w:t>
            </w:r>
            <w:r>
              <w:rPr>
                <w:color w:val="00B0F0"/>
                <w:sz w:val="20"/>
              </w:rPr>
              <w:t>: natočit reklamu se Zbyňkem.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Další reklama: Libuš jak píše do kalendáře k víkendu: Nejsem doma.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color w:val="92D050"/>
              </w:rPr>
            </w:pPr>
            <w:r>
              <w:rPr>
                <w:color w:val="00B0F0"/>
                <w:sz w:val="20"/>
              </w:rPr>
              <w:t>Další návrh: natočit samotný trailer k telenovele, kterou bychom nikdy netočili.</w:t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20:10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Hlasování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Prakticky bez hlasování Zbyněk prohlásil, že se mu líbí Červená Karkulka, a pak už jsme se o ničem jiném nebavili.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Formy a přidělený scénárista: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color w:val="00B0F0"/>
                <w:sz w:val="20"/>
              </w:rPr>
              <w:t>Scifi (Zbyněk)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color w:val="00B0F0"/>
                <w:sz w:val="20"/>
              </w:rPr>
              <w:t>Psychodrama (Renča)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color w:val="00B0F0"/>
                <w:sz w:val="20"/>
              </w:rPr>
              <w:t>Přírodovědný document (Tomáš K.)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color w:val="00B0F0"/>
                <w:sz w:val="20"/>
              </w:rPr>
              <w:t>Erotický thriller (Hanka L.)</w:t>
            </w:r>
          </w:p>
          <w:p>
            <w:pPr>
              <w:pStyle w:val="GSKbullettabforlevels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color w:val="00B0F0"/>
                <w:sz w:val="20"/>
              </w:rPr>
              <w:t>Krimi (?)</w:t>
            </w:r>
          </w:p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20:20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Lucie vystupuje z tramvaje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00B0F0"/>
              </w:rPr>
            </w:pPr>
            <w:r>
              <w:rPr>
                <w:color w:val="00B0F0"/>
                <w:sz w:val="20"/>
              </w:rPr>
              <w:t>Hluboká diskuse nad scénářem č.4. Nikdo v něm nechce hrát, ale všichni mají spoustu nápadů. Hlavně muži.</w:t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20:29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Lucie vstupuje do baru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FF0000"/>
                <w:lang w:val="cs-CZ"/>
              </w:rPr>
            </w:pPr>
            <w:r>
              <w:rPr>
                <w:color w:val="00B0F0"/>
                <w:sz w:val="20"/>
              </w:rPr>
              <w:t>Zvířátka sjetý po houbičkách – pravděpodobně téma pro kriminálku. O minute později mám u sebe poznámku: vlk</w:t>
            </w:r>
            <w:r>
              <w:rPr>
                <w:color w:val="00B0F0"/>
                <w:sz w:val="20"/>
                <w:lang w:val="en-US"/>
              </w:rPr>
              <w:t>&amp;</w:t>
            </w:r>
            <w:r>
              <w:rPr>
                <w:color w:val="00B0F0"/>
                <w:sz w:val="20"/>
                <w:lang w:val="cs-CZ"/>
              </w:rPr>
              <w:t>porno.</w:t>
            </w:r>
            <w:r>
              <w:rPr>
                <w:color w:val="00B0F0"/>
                <w:sz w:val="20"/>
              </w:rPr>
              <w:t xml:space="preserve"> 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20:39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Intelektuální odmlka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rFonts w:ascii="Arial" w:hAnsi="Arial"/>
                <w:color w:val="635A54" w:themeColor="text1"/>
                <w:sz w:val="20"/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20:54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00B0F0"/>
                <w:lang w:val="cs-CZ"/>
              </w:rPr>
            </w:pPr>
            <w:r>
              <w:rPr>
                <w:color w:val="00B0F0"/>
                <w:sz w:val="20"/>
                <w:lang w:val="cs-CZ"/>
              </w:rPr>
              <w:t>Návrh masky (ne)zletilé studentky a vlka – no, ani po půl hodině jsme se od erotického thrilleru nehnuli z místa...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21:05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Telefonát Karpíškům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rFonts w:ascii="Arial" w:hAnsi="Arial"/>
                <w:color w:val="635A54" w:themeColor="text1"/>
                <w:sz w:val="20"/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21:07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Přichází Martina Vašířová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color w:val="00B0F0"/>
                <w:lang w:val="cs-CZ"/>
              </w:rPr>
            </w:pPr>
            <w:r>
              <w:rPr>
                <w:color w:val="00B0F0"/>
                <w:sz w:val="20"/>
                <w:lang w:val="cs-CZ"/>
              </w:rPr>
              <w:t>S přibývajícím alkoholem mám zápisky jen dost chaotické, jako např. erotický thriller (zase) v němčině</w:t>
            </w:r>
          </w:p>
        </w:tc>
      </w:tr>
      <w:tr>
        <w:trPr>
          <w:cnfStyle w:val="00000010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Odchod některých členů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rFonts w:ascii="Arial" w:hAnsi="Arial"/>
                <w:color w:val="635A54" w:themeColor="text1"/>
                <w:sz w:val="20"/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</w:r>
          </w:p>
        </w:tc>
      </w:tr>
      <w:tr>
        <w:trPr>
          <w:cnfStyle w:val="000000010000"/>
        </w:trPr>
        <w:tc>
          <w:tcPr>
            <w:tcW w:w="1428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Autospacing="0" w:before="0" w:afterAutospacing="0" w:after="0"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22:33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227" w:hanging="227"/>
              <w:contextualSpacing/>
              <w:jc w:val="left"/>
              <w:rPr>
                <w:rFonts w:ascii="Arial" w:hAnsi="Arial"/>
                <w:color w:val="635A54" w:themeColor="text1"/>
                <w:sz w:val="20"/>
              </w:rPr>
            </w:pPr>
            <w:r>
              <w:rPr>
                <w:color w:val="635A54" w:themeColor="text1"/>
                <w:sz w:val="20"/>
              </w:rPr>
              <w:t>Zaplaceno, účet 2.299Kč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635A54"/>
              <w:right w:val="nil"/>
              <w:insideH w:val="single" w:sz="4" w:space="0" w:color="635A54"/>
              <w:insideV w:val="nil"/>
            </w:tcBorders>
            <w:shd w:fill="auto" w:val="clear"/>
          </w:tcPr>
          <w:p>
            <w:pPr>
              <w:pStyle w:val="GSKbullettabforlevels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720" w:hanging="0"/>
              <w:contextualSpacing/>
              <w:jc w:val="left"/>
              <w:rPr>
                <w:rFonts w:ascii="Arial" w:hAnsi="Arial"/>
                <w:color w:val="635A54" w:themeColor="text1"/>
                <w:sz w:val="20"/>
                <w:lang w:val="cs-CZ"/>
              </w:rPr>
            </w:pPr>
            <w:r>
              <w:rPr>
                <w:color w:val="635A54" w:themeColor="text1"/>
                <w:sz w:val="20"/>
                <w:lang w:val="cs-CZ"/>
              </w:rPr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567" w:top="624" w:footer="370" w:bottom="1134" w:gutter="0"/>
      <w:pgNumType w:start="1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erthold Akzidenz Grotesk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SKfooter"/>
      <w:rPr/>
    </w:pPr>
    <w:r>
      <w:rPr/>
      <w:fldChar w:fldCharType="begin"/>
    </w:r>
    <w:r>
      <w:instrText> FILENAME </w:instrText>
    </w:r>
    <w:r>
      <w:fldChar w:fldCharType="separate"/>
    </w:r>
    <w:r>
      <w:t>2016_04_TVM_schuze.docx</w:t>
    </w:r>
    <w:r>
      <w:fldChar w:fldCharType="end"/>
    </w:r>
    <w:r>
      <w:rPr/>
      <w:tab/>
    </w:r>
    <w:r>
      <w:rPr/>
      <w:fldChar w:fldCharType="begin"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-64135</wp:posOffset>
              </wp:positionH>
              <wp:positionV relativeFrom="paragraph">
                <wp:posOffset>-99695</wp:posOffset>
              </wp:positionV>
              <wp:extent cx="4633595" cy="1270"/>
              <wp:effectExtent l="0" t="0" r="0" b="0"/>
              <wp:wrapNone/>
              <wp:docPr id="4" name="Straight Connector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635a54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5.05pt,-7.85pt" to="514.75pt,-7.85pt" ID="Straight Connector 4" stroked="t" style="position:absolute">
              <v:stroke color="#635a54" weight="6480" joinstyle="round" endcap="flat"/>
              <v:fill on="false" o:detectmouseclick="t"/>
            </v:line>
          </w:pict>
        </mc:Fallback>
      </mc:AlternateContent>
    </w:r>
    <w:r>
      <w:instrText> PAGE \* ARABIC </w:instrText>
    </w:r>
    <w:r>
      <w:fldChar w:fldCharType="separate"/>
    </w:r>
    <w:r>
      <w:t>2</w:t>
    </w:r>
    <w:r>
      <w:fldChar w:fldCharType="end"/>
    </w:r>
    <w:r>
      <w:rPr/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SKfoo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-64135</wp:posOffset>
              </wp:positionH>
              <wp:positionV relativeFrom="paragraph">
                <wp:posOffset>-99695</wp:posOffset>
              </wp:positionV>
              <wp:extent cx="4633595" cy="1270"/>
              <wp:effectExtent l="0" t="0" r="0" b="0"/>
              <wp:wrapNone/>
              <wp:docPr id="5" name="Straight Connector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635a54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5.05pt,-7.85pt" to="514.75pt,-7.85pt" ID="Straight Connector 5" stroked="t" style="position:absolute">
              <v:stroke color="#635a54" weight="6480" joinstyle="round" endcap="flat"/>
              <v:fill on="false" o:detectmouseclick="t"/>
            </v:line>
          </w:pict>
        </mc:Fallback>
      </mc:AlternateContent>
    </w:r>
    <w:r>
      <w:rPr/>
      <w:tab/>
    </w:r>
    <w:r>
      <w:rPr/>
      <w:fldChar w:fldCharType="begin"/>
    </w:r>
    <w:r>
      <w:instrText> PAGE \* ARABIC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7478" w:type="dxa"/>
      <w:jc w:val="left"/>
      <w:tblInd w:w="1" w:type="dxa"/>
      <w:tblCellMar>
        <w:top w:w="0" w:type="dxa"/>
        <w:left w:w="108" w:type="dxa"/>
        <w:bottom w:w="0" w:type="dxa"/>
        <w:right w:w="0" w:type="dxa"/>
      </w:tblCellMar>
      <w:tblLook w:val="04a0"/>
    </w:tblPr>
    <w:tblGrid>
      <w:gridCol w:w="7478"/>
    </w:tblGrid>
    <w:tr>
      <w:trPr>
        <w:trHeight w:val="1093" w:hRule="atLeast"/>
      </w:trPr>
      <w:tc>
        <w:tcPr>
          <w:tcW w:w="747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Zhlav"/>
            <w:spacing w:lineRule="auto" w:line="240" w:before="0" w:after="0"/>
            <w:rPr/>
          </w:pPr>
          <w:r>
            <w:rPr/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-1270</wp:posOffset>
              </wp:positionH>
              <wp:positionV relativeFrom="paragraph">
                <wp:posOffset>31750</wp:posOffset>
              </wp:positionV>
              <wp:extent cx="4547870" cy="1270"/>
              <wp:effectExtent l="0" t="0" r="0" b="0"/>
              <wp:wrapNone/>
              <wp:docPr id="1" name="Straight Connector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635a54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0.1pt,2.5pt" to="510.1pt,2.5pt" ID="Straight Connector 22" stroked="t" style="position:absolute">
              <v:stroke color="#635a54" weight="6480" joinstyle="round" endcap="flat"/>
              <v:fill on="false" o:detectmouseclick="t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-64135</wp:posOffset>
              </wp:positionH>
              <wp:positionV relativeFrom="paragraph">
                <wp:posOffset>29845</wp:posOffset>
              </wp:positionV>
              <wp:extent cx="4636135" cy="1270"/>
              <wp:effectExtent l="0" t="0" r="0" b="0"/>
              <wp:wrapNone/>
              <wp:docPr id="2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6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ff66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5.05pt,2.35pt" to="515.05pt,2.35pt" ID="Straight Connector 3" stroked="t" style="position:absolute">
              <v:stroke color="#ff6600" weight="6480" joinstyle="round" endcap="flat"/>
              <v:fill on="false" o:detectmouseclick="t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7478" w:type="dxa"/>
      <w:jc w:val="left"/>
      <w:tblInd w:w="1" w:type="dxa"/>
      <w:tblCellMar>
        <w:top w:w="0" w:type="dxa"/>
        <w:left w:w="108" w:type="dxa"/>
        <w:bottom w:w="0" w:type="dxa"/>
        <w:right w:w="0" w:type="dxa"/>
      </w:tblCellMar>
      <w:tblLook w:val="04a0"/>
    </w:tblPr>
    <w:tblGrid>
      <w:gridCol w:w="7478"/>
    </w:tblGrid>
    <w:tr>
      <w:trPr>
        <w:trHeight w:val="1094" w:hRule="exact"/>
      </w:trPr>
      <w:tc>
        <w:tcPr>
          <w:tcW w:w="747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Zhlav"/>
            <w:spacing w:lineRule="auto" w:line="240" w:before="0" w:after="0"/>
            <w:rPr>
              <w:b w:val="false"/>
              <w:b w:val="false"/>
            </w:rPr>
          </w:pPr>
          <w:r>
            <w:rPr>
              <w:lang w:val="cs-CZ" w:eastAsia="cs-CZ"/>
            </w:rPr>
            <w:t>TVM Schůze</w:t>
          </w:r>
          <w:r>
            <w:rPr/>
            <w:t xml:space="preserve">   </w:t>
          </w:r>
        </w:p>
      </w:tc>
    </w:tr>
  </w:tbl>
  <w:p>
    <w:pPr>
      <w:pStyle w:val="Zhlav"/>
      <w:tabs>
        <w:tab w:val="right" w:pos="10206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-64135</wp:posOffset>
              </wp:positionH>
              <wp:positionV relativeFrom="paragraph">
                <wp:posOffset>29210</wp:posOffset>
              </wp:positionV>
              <wp:extent cx="4639945" cy="1270"/>
              <wp:effectExtent l="0" t="0" r="0" b="0"/>
              <wp:wrapNone/>
              <wp:docPr id="3" name="Straight Connector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104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ff66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5.05pt,2.3pt" to="515.45pt,2.3pt" ID="Straight Connector 20" stroked="t" style="position:absolute">
              <v:stroke color="#ff6600" weight="6480" joinstyle="round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color w:val="635A54" w:themeColor="text1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16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" w:asciiTheme="minorHAnsi" w:cstheme="minorBidi" w:eastAsiaTheme="minorHAnsi" w:hAnsiTheme="minorHAnsi"/>
      <w:color w:val="635A54" w:themeColor="text1"/>
      <w:sz w:val="20"/>
      <w:szCs w:val="20"/>
      <w:lang w:val="en-GB" w:eastAsia="en-US" w:bidi="ar-SA"/>
    </w:rPr>
  </w:style>
  <w:style w:type="paragraph" w:styleId="Nadpis1">
    <w:name w:val="Nadpis 1"/>
    <w:basedOn w:val="Normal"/>
    <w:next w:val="Normal"/>
    <w:link w:val="Heading1Char"/>
    <w:uiPriority w:val="9"/>
    <w:rsid w:val="00b01a83"/>
    <w:pPr>
      <w:keepNext/>
      <w:keepLines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FF6600" w:themeColor="background2"/>
      <w:szCs w:val="28"/>
    </w:rPr>
  </w:style>
  <w:style w:type="paragraph" w:styleId="Nadpis2">
    <w:name w:val="Nadpis 2"/>
    <w:basedOn w:val="Normal"/>
    <w:next w:val="Normal"/>
    <w:link w:val="Heading2Char"/>
    <w:uiPriority w:val="9"/>
    <w:unhideWhenUsed/>
    <w:rsid w:val="00b01a83"/>
    <w:pPr>
      <w:keepNext/>
      <w:keepLines/>
      <w:outlineLvl w:val="1"/>
    </w:pPr>
    <w:rPr>
      <w:rFonts w:ascii="Arial" w:hAnsi="Arial" w:eastAsia="" w:cs="" w:asciiTheme="majorHAnsi" w:cstheme="majorBidi" w:eastAsiaTheme="majorEastAsia" w:hAnsiTheme="majorHAnsi"/>
      <w:b/>
      <w:bCs/>
      <w:szCs w:val="26"/>
    </w:rPr>
  </w:style>
  <w:style w:type="paragraph" w:styleId="Nadpis3">
    <w:name w:val="Nadpis 3"/>
    <w:basedOn w:val="Normal"/>
    <w:next w:val="Normal"/>
    <w:link w:val="Heading3Char"/>
    <w:uiPriority w:val="9"/>
    <w:unhideWhenUsed/>
    <w:rsid w:val="00b01a83"/>
    <w:pPr>
      <w:keepNext/>
      <w:keepLines/>
      <w:outlineLvl w:val="2"/>
    </w:pPr>
    <w:rPr>
      <w:rFonts w:ascii="Arial" w:hAnsi="Arial" w:eastAsia="" w:cs="" w:asciiTheme="majorHAnsi" w:cstheme="majorBidi" w:eastAsiaTheme="majorEastAsia" w:hAnsiTheme="majorHAnsi"/>
      <w:bCs/>
    </w:rPr>
  </w:style>
  <w:style w:type="paragraph" w:styleId="Nadpis4">
    <w:name w:val="Nadpis 4"/>
    <w:basedOn w:val="Normal"/>
    <w:next w:val="Normal"/>
    <w:link w:val="Heading4Char"/>
    <w:uiPriority w:val="9"/>
    <w:semiHidden/>
    <w:unhideWhenUsed/>
    <w:rsid w:val="008277a6"/>
    <w:pPr>
      <w:keepNext/>
      <w:keepLines/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Cs/>
      <w:iCs/>
      <w:color w:val="9A8B7D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681f0f"/>
    <w:rPr>
      <w:b/>
      <w:color w:val="FF6600" w:themeColor="background2"/>
      <w:sz w:val="2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905d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04f1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01a83"/>
    <w:rPr>
      <w:rFonts w:ascii="Arial" w:hAnsi="Arial" w:eastAsia="" w:cs="" w:asciiTheme="majorHAnsi" w:cstheme="majorBidi" w:eastAsiaTheme="majorEastAsia" w:hAnsiTheme="majorHAnsi"/>
      <w:b/>
      <w:bCs/>
      <w:color w:val="FF6600" w:themeColor="background2"/>
      <w:sz w:val="2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01a83"/>
    <w:rPr>
      <w:rFonts w:ascii="Arial" w:hAnsi="Arial" w:eastAsia="" w:cs="" w:asciiTheme="majorHAnsi" w:cstheme="majorBidi" w:eastAsiaTheme="majorEastAsia" w:hAnsiTheme="majorHAnsi"/>
      <w:b/>
      <w:bCs/>
      <w:color w:val="635A54" w:themeColor="text1"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01a83"/>
    <w:rPr>
      <w:rFonts w:ascii="Arial" w:hAnsi="Arial" w:eastAsia="" w:cs="" w:asciiTheme="majorHAnsi" w:cstheme="majorBidi" w:eastAsiaTheme="majorEastAsia" w:hAnsiTheme="majorHAnsi"/>
      <w:bCs/>
      <w:color w:val="635A54" w:themeColor="tex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8277a6"/>
    <w:rPr>
      <w:rFonts w:ascii="Arial" w:hAnsi="Arial" w:eastAsia="" w:cs="" w:asciiTheme="majorHAnsi" w:cstheme="majorBidi" w:eastAsiaTheme="majorEastAsia" w:hAnsiTheme="majorHAnsi"/>
      <w:bCs/>
      <w:iCs/>
      <w:color w:val="9A8B7D" w:themeColor="text2"/>
    </w:rPr>
  </w:style>
  <w:style w:type="character" w:styleId="Internetovodkaz">
    <w:name w:val="Internetový odkaz"/>
    <w:basedOn w:val="DefaultParagraphFont"/>
    <w:uiPriority w:val="99"/>
    <w:unhideWhenUsed/>
    <w:rsid w:val="003105c3"/>
    <w:rPr>
      <w:color w:val="FF6600" w:themeColor="hyperlink"/>
      <w:u w:val="single"/>
    </w:rPr>
  </w:style>
  <w:style w:type="character" w:styleId="ListLabel1">
    <w:name w:val="ListLabel 1"/>
    <w:qFormat/>
    <w:rPr>
      <w:color w:val="635A54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  <w:color w:val="635A54"/>
    </w:rPr>
  </w:style>
  <w:style w:type="character" w:styleId="ListLabel6">
    <w:name w:val="ListLabel 6"/>
    <w:qFormat/>
    <w:rPr>
      <w:rFonts w:eastAsia="Calibri"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HeaderChar"/>
    <w:unhideWhenUsed/>
    <w:qFormat/>
    <w:rsid w:val="00681f0f"/>
    <w:pPr>
      <w:tabs>
        <w:tab w:val="center" w:pos="4513" w:leader="none"/>
        <w:tab w:val="right" w:pos="9026" w:leader="none"/>
      </w:tabs>
    </w:pPr>
    <w:rPr>
      <w:b/>
      <w:color w:val="FF6600" w:themeColor="background2"/>
      <w:sz w:val="26"/>
    </w:rPr>
  </w:style>
  <w:style w:type="paragraph" w:styleId="Zpat">
    <w:name w:val="Zápatí"/>
    <w:basedOn w:val="Normal"/>
    <w:link w:val="FooterChar"/>
    <w:uiPriority w:val="99"/>
    <w:unhideWhenUsed/>
    <w:rsid w:val="00f905da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4f1"/>
    <w:pPr/>
    <w:rPr>
      <w:rFonts w:ascii="Tahoma" w:hAnsi="Tahoma" w:cs="Tahoma"/>
      <w:sz w:val="16"/>
      <w:szCs w:val="16"/>
    </w:rPr>
  </w:style>
  <w:style w:type="paragraph" w:styleId="GSKcovertitle" w:customStyle="1">
    <w:name w:val="GSK cover title"/>
    <w:basedOn w:val="Normal"/>
    <w:qFormat/>
    <w:rsid w:val="008e2c2e"/>
    <w:pPr>
      <w:spacing w:lineRule="exact" w:line="640"/>
    </w:pPr>
    <w:rPr>
      <w:b/>
      <w:color w:val="FF6600" w:themeColor="background2"/>
      <w:sz w:val="64"/>
      <w:szCs w:val="64"/>
    </w:rPr>
  </w:style>
  <w:style w:type="paragraph" w:styleId="GSKdatecover" w:customStyle="1">
    <w:name w:val="GSK date_cover"/>
    <w:basedOn w:val="Normal"/>
    <w:qFormat/>
    <w:rsid w:val="007f3982"/>
    <w:pPr>
      <w:spacing w:lineRule="exact" w:line="640"/>
    </w:pPr>
    <w:rPr>
      <w:b/>
      <w:sz w:val="64"/>
      <w:szCs w:val="64"/>
    </w:rPr>
  </w:style>
  <w:style w:type="paragraph" w:styleId="GSKstrictlyconfidentialcover" w:customStyle="1">
    <w:name w:val="GSK strictly confidential_cover"/>
    <w:basedOn w:val="Normal"/>
    <w:qFormat/>
    <w:rsid w:val="008e2c2e"/>
    <w:pPr>
      <w:spacing w:lineRule="exact" w:line="640"/>
    </w:pPr>
    <w:rPr>
      <w:b/>
      <w:color w:val="9A8B7D" w:themeColor="text2"/>
      <w:sz w:val="64"/>
      <w:szCs w:val="64"/>
    </w:rPr>
  </w:style>
  <w:style w:type="paragraph" w:styleId="GSKdisclaimer" w:customStyle="1">
    <w:name w:val="GSK disclaimer"/>
    <w:basedOn w:val="Normal"/>
    <w:qFormat/>
    <w:rsid w:val="008e2c2e"/>
    <w:pPr/>
    <w:rPr>
      <w:color w:val="FF6600" w:themeColor="background2"/>
      <w:sz w:val="24"/>
      <w:szCs w:val="24"/>
    </w:rPr>
  </w:style>
  <w:style w:type="paragraph" w:styleId="GSKfooter" w:customStyle="1">
    <w:name w:val="GSK footer"/>
    <w:basedOn w:val="Zpat"/>
    <w:qFormat/>
    <w:rsid w:val="007f3982"/>
    <w:pPr>
      <w:tabs>
        <w:tab w:val="right" w:pos="10206" w:leader="none"/>
      </w:tabs>
    </w:pPr>
    <w:rPr>
      <w:sz w:val="15"/>
      <w:szCs w:val="15"/>
    </w:rPr>
  </w:style>
  <w:style w:type="paragraph" w:styleId="GSKbodytext" w:customStyle="1">
    <w:name w:val="GSK body text"/>
    <w:basedOn w:val="Normal"/>
    <w:qFormat/>
    <w:rsid w:val="0071352e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737a17"/>
    <w:pPr>
      <w:spacing w:before="0" w:after="0"/>
      <w:ind w:left="720" w:hanging="0"/>
      <w:contextualSpacing/>
    </w:pPr>
    <w:rPr/>
  </w:style>
  <w:style w:type="paragraph" w:styleId="GSKbullettabforlevels" w:customStyle="1">
    <w:name w:val="GSK bullet_tab for levels"/>
    <w:basedOn w:val="ListParagraph"/>
    <w:qFormat/>
    <w:rsid w:val="008d6497"/>
    <w:pPr>
      <w:spacing w:before="0" w:after="60"/>
      <w:contextualSpacing/>
    </w:pPr>
    <w:rPr/>
  </w:style>
  <w:style w:type="paragraph" w:styleId="Addressdetails" w:customStyle="1">
    <w:name w:val="Address details"/>
    <w:basedOn w:val="Normal"/>
    <w:uiPriority w:val="99"/>
    <w:qFormat/>
    <w:rsid w:val="00484b63"/>
    <w:pPr>
      <w:suppressAutoHyphens w:val="true"/>
      <w:spacing w:lineRule="atLeast" w:line="180"/>
      <w:textAlignment w:val="center"/>
    </w:pPr>
    <w:rPr>
      <w:rFonts w:ascii="Berthold Akzidenz Grotesk" w:hAnsi="Berthold Akzidenz Grotesk" w:cs="Berthold Akzidenz Grotesk"/>
      <w:color w:val="72635C"/>
      <w:spacing w:val="0"/>
      <w:sz w:val="15"/>
      <w:szCs w:val="15"/>
    </w:rPr>
  </w:style>
  <w:style w:type="paragraph" w:styleId="GSKheading" w:customStyle="1">
    <w:name w:val="GSK heading"/>
    <w:basedOn w:val="Nadpis1"/>
    <w:qFormat/>
    <w:rsid w:val="005921ce"/>
    <w:pPr/>
    <w:rPr/>
  </w:style>
  <w:style w:type="paragraph" w:styleId="Style21" w:customStyle="1">
    <w:name w:val="Style2"/>
    <w:basedOn w:val="Normal"/>
    <w:qFormat/>
    <w:rsid w:val="003c0b8d"/>
    <w:pPr/>
    <w:rPr/>
  </w:style>
  <w:style w:type="paragraph" w:styleId="GSKsubheading" w:customStyle="1">
    <w:name w:val="GSK subheading"/>
    <w:basedOn w:val="Nadpis2"/>
    <w:qFormat/>
    <w:rsid w:val="005921ce"/>
    <w:pPr>
      <w:spacing w:before="0" w:after="0"/>
      <w:contextualSpacing/>
    </w:pPr>
    <w:rPr/>
  </w:style>
  <w:style w:type="paragraph" w:styleId="GSKimagecaption" w:customStyle="1">
    <w:name w:val="GSK image caption"/>
    <w:basedOn w:val="Normal"/>
    <w:qFormat/>
    <w:rsid w:val="00627305"/>
    <w:pPr>
      <w:spacing w:before="100" w:after="0"/>
    </w:pPr>
    <w:rPr>
      <w:color w:val="FF6600" w:themeColor="accent1"/>
      <w:sz w:val="16"/>
    </w:rPr>
  </w:style>
  <w:style w:type="paragraph" w:styleId="GSKagendaheader" w:customStyle="1">
    <w:name w:val="GSK agenda header"/>
    <w:basedOn w:val="Normal"/>
    <w:qFormat/>
    <w:rsid w:val="002e6356"/>
    <w:pPr/>
    <w:rPr>
      <w:rFonts w:ascii="Arial" w:hAnsi="Arial"/>
      <w:b/>
      <w:color w:val="FF6600" w:themeColor="background2"/>
    </w:rPr>
  </w:style>
  <w:style w:type="numbering" w:styleId="NoList" w:default="1">
    <w:name w:val="No List"/>
    <w:uiPriority w:val="99"/>
    <w:semiHidden/>
    <w:unhideWhenUsed/>
  </w:style>
  <w:style w:type="numbering" w:styleId="Style11" w:customStyle="1">
    <w:name w:val="Style1"/>
    <w:uiPriority w:val="99"/>
    <w:rsid w:val="00737a17"/>
  </w:style>
  <w:style w:type="numbering" w:styleId="GSKBulletedListstyle" w:customStyle="1">
    <w:name w:val="GSK Bulleted List style"/>
    <w:uiPriority w:val="99"/>
    <w:rsid w:val="00737a1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305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6600" w:themeColor="background2" w:sz="4" w:space="0"/>
        <w:left w:val="single" w:color="FF6600" w:themeColor="background2" w:sz="4" w:space="0"/>
        <w:bottom w:val="single" w:color="FF6600" w:themeColor="background2" w:sz="4" w:space="0"/>
        <w:right w:val="single" w:color="FF6600" w:themeColor="background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5A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35A54" w:themeColor="text1" w:sz="6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635A54" w:themeColor="text1" w:sz="8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  <w:tblStylePr w:type="band1Horz">
      <w:tblPr/>
      <w:tcPr>
        <w:tcBorders>
          <w:top w:val="single" w:color="635A54" w:themeColor="text1" w:sz="8" w:space="0"/>
          <w:left w:val="single" w:color="635A54" w:themeColor="text1" w:sz="8" w:space="0"/>
          <w:bottom w:val="single" w:color="635A54" w:themeColor="text1" w:sz="8" w:space="0"/>
          <w:right w:val="single" w:color="635A54" w:themeColor="text1" w:sz="8" w:space="0"/>
        </w:tcBorders>
      </w:tcPr>
    </w:tblStylePr>
  </w:style>
  <w:style w:type="table" w:styleId="TableGrid">
    <w:name w:val="Table Grid"/>
    <w:basedOn w:val="TableNormal"/>
    <w:uiPriority w:val="59"/>
    <w:rsid w:val="00521c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05d4"/>
    <w:pPr>
      <w:spacing w:after="0" w:line="240" w:lineRule="auto"/>
    </w:pPr>
    <w:rPr>
      <w:color w:val="4A433F" w:themeColor="text1" w:themeShade="bf"/>
    </w:rPr>
    <w:tblPr>
      <w:tblStyleRowBandSize w:val="1"/>
      <w:tblStyleColBandSize w:val="1"/>
      <w:tblInd w:w="0" w:type="dxa"/>
      <w:tblBorders>
        <w:top w:val="single" w:color="635A54" w:themeColor="text1" w:sz="8" w:space="0"/>
        <w:bottom w:val="single" w:color="635A54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35A54" w:themeColor="text1" w:sz="8" w:space="0"/>
          <w:left w:val="nil"/>
          <w:bottom w:val="single" w:color="635A54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35A54" w:themeColor="text1" w:sz="8" w:space="0"/>
          <w:left w:val="nil"/>
          <w:bottom w:val="single" w:color="635A54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5D3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816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B6C9" w:themeColor="accent4" w:sz="8" w:space="0"/>
        <w:left w:val="single" w:color="00B6C9" w:themeColor="accent4" w:sz="8" w:space="0"/>
        <w:bottom w:val="single" w:color="00B6C9" w:themeColor="accent4" w:sz="8" w:space="0"/>
        <w:right w:val="single" w:color="00B6C9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6C9" w:themeColor="accent4" w:sz="6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B6C9" w:themeColor="accent4" w:sz="8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  <w:tblStylePr w:type="band1Horz">
      <w:tblPr/>
      <w:tcPr>
        <w:tcBorders>
          <w:top w:val="single" w:color="00B6C9" w:themeColor="accent4" w:sz="8" w:space="0"/>
          <w:left w:val="single" w:color="00B6C9" w:themeColor="accent4" w:sz="8" w:space="0"/>
          <w:bottom w:val="single" w:color="00B6C9" w:themeColor="accent4" w:sz="8" w:space="0"/>
          <w:right w:val="single" w:color="00B6C9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E0077" w:themeColor="accent5" w:sz="8" w:space="0"/>
        <w:left w:val="single" w:color="BE0077" w:themeColor="accent5" w:sz="8" w:space="0"/>
        <w:bottom w:val="single" w:color="BE0077" w:themeColor="accent5" w:sz="8" w:space="0"/>
        <w:right w:val="single" w:color="BE0077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007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E0077" w:themeColor="accent5" w:sz="6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BE0077" w:themeColor="accent5" w:sz="8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  <w:tblStylePr w:type="band1Horz">
      <w:tblPr/>
      <w:tcPr>
        <w:tcBorders>
          <w:top w:val="single" w:color="BE0077" w:themeColor="accent5" w:sz="8" w:space="0"/>
          <w:left w:val="single" w:color="BE0077" w:themeColor="accent5" w:sz="8" w:space="0"/>
          <w:bottom w:val="single" w:color="BE0077" w:themeColor="accent5" w:sz="8" w:space="0"/>
          <w:right w:val="single" w:color="BE007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d7482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635A54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83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A8322" w:themeColor="accent6" w:sz="6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color="635A54" w:themeColor="text1" w:sz="4" w:space="0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color="635A54" w:themeColor="text1" w:sz="4" w:space="0"/>
          <w:insideV w:val="nil"/>
          <w:tl2br w:val="nil"/>
          <w:tr2bl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5b7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E0077" w:themeColor="accent5" w:sz="24" w:space="0"/>
        <w:left w:val="single" w:color="4A8322" w:themeColor="accent6" w:sz="4" w:space="0"/>
        <w:bottom w:val="single" w:color="4A8322" w:themeColor="accent6" w:sz="4" w:space="0"/>
        <w:right w:val="single" w:color="4A8322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8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E007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E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E14" w:themeColor="accent6" w:sz="4" w:space="0"/>
          <w:insideV w:val="nil"/>
        </w:tcBorders>
        <w:shd w:val="clear" w:color="auto" w:fill="2C4E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E14" w:themeFill="accent6" w:themeFillShade="99"/>
      </w:tcPr>
    </w:tblStylePr>
    <w:tblStylePr w:type="band1Vert">
      <w:tblPr/>
      <w:tcPr>
        <w:shd w:val="clear" w:color="auto" w:fill="B2E291" w:themeFill="accent6" w:themeFillTint="66"/>
      </w:tcPr>
    </w:tblStylePr>
    <w:tblStylePr w:type="band1Horz">
      <w:tblPr/>
      <w:tcPr>
        <w:shd w:val="clear" w:color="auto" w:fill="A0DB76" w:themeFill="accent6" w:themeFillTint="7f"/>
      </w:tcPr>
    </w:tblStylePr>
    <w:tblStylePr w:type="neCell">
      <w:rPr>
        <w:color w:val="635A54" w:themeColor="text1"/>
      </w:rPr>
      <w:tblPr/>
    </w:tblStylePr>
    <w:tblStylePr w:type="nwCell">
      <w:rPr>
        <w:color w:val="635A54" w:themeColor="text1"/>
      </w:rPr>
      <w:tblPr/>
    </w:tblStylePr>
  </w:style>
  <w:style w:type="table" w:styleId="LightShading-Accent6">
    <w:name w:val="Light Shading Accent 6"/>
    <w:basedOn w:val="TableNormal"/>
    <w:uiPriority w:val="60"/>
    <w:rsid w:val="00d7482c"/>
    <w:pPr>
      <w:spacing w:after="0" w:line="240" w:lineRule="auto"/>
    </w:pPr>
    <w:rPr>
      <w:color w:val="376119" w:themeColor="accent6" w:themeShade="bf"/>
    </w:rPr>
    <w:tblPr>
      <w:tblStyleRowBandSize w:val="1"/>
      <w:tblStyleColBandSize w:val="1"/>
      <w:tblInd w:w="0" w:type="dxa"/>
      <w:tblBorders>
        <w:top w:val="single" w:color="4A8322" w:themeColor="accent6" w:sz="8" w:space="0"/>
        <w:bottom w:val="single" w:color="4A8322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A8322" w:themeColor="accent6" w:sz="8" w:space="0"/>
          <w:left w:val="nil"/>
          <w:bottom w:val="single" w:color="4A832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A8322" w:themeColor="accent6" w:sz="8" w:space="0"/>
          <w:left w:val="nil"/>
          <w:bottom w:val="single" w:color="4A832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BB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e91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6600" w:themeColor="accent1" w:sz="8" w:space="0"/>
        <w:left w:val="single" w:color="FF6600" w:themeColor="accent1" w:sz="8" w:space="0"/>
        <w:bottom w:val="single" w:color="FF6600" w:themeColor="accent1" w:sz="8" w:space="0"/>
        <w:right w:val="single" w:color="FF66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600" w:themeColor="accent1" w:sz="6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band1Horz"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b2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6600" w:themeColor="accent1" w:sz="8" w:space="0"/>
        <w:left w:val="single" w:color="FF6600" w:themeColor="accent1" w:sz="8" w:space="0"/>
        <w:bottom w:val="single" w:color="FF6600" w:themeColor="accent1" w:sz="8" w:space="0"/>
        <w:right w:val="single" w:color="FF6600" w:themeColor="accent1" w:sz="8" w:space="0"/>
        <w:insideH w:val="single" w:color="FF6600" w:themeColor="accent1" w:sz="8" w:space="0"/>
        <w:insideV w:val="single" w:color="FF66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18" w:space="0"/>
          <w:right w:val="single" w:color="FF6600" w:themeColor="accent1" w:sz="8" w:space="0"/>
          <w:insideH w:val="nil"/>
          <w:insideV w:val="single" w:color="FF66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600" w:themeColor="accent1" w:sz="6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H w:val="nil"/>
          <w:insideV w:val="single" w:color="FF66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</w:tcPr>
    </w:tblStylePr>
    <w:tblStylePr w:type="band1Vert"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</w:tcBorders>
        <w:shd w:val="clear" w:color="auto" w:fill="FFD9C0" w:themeFill="accent1" w:themeFillTint="3f"/>
      </w:tcPr>
    </w:tblStylePr>
    <w:tblStylePr w:type="band1Horz"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V w:val="single" w:color="FF6600" w:themeColor="accent1" w:sz="8" w:space="0"/>
        </w:tcBorders>
        <w:shd w:val="clear" w:color="auto" w:fill="FFD9C0" w:themeFill="accent1" w:themeFillTint="3f"/>
      </w:tcPr>
    </w:tblStylePr>
    <w:tblStylePr w:type="band2Horz">
      <w:tblPr/>
      <w:tcPr>
        <w:tcBorders>
          <w:top w:val="single" w:color="FF6600" w:themeColor="accent1" w:sz="8" w:space="0"/>
          <w:left w:val="single" w:color="FF6600" w:themeColor="accent1" w:sz="8" w:space="0"/>
          <w:bottom w:val="single" w:color="FF6600" w:themeColor="accent1" w:sz="8" w:space="0"/>
          <w:right w:val="single" w:color="FF6600" w:themeColor="accent1" w:sz="8" w:space="0"/>
          <w:insideV w:val="single" w:color="FF6600" w:themeColor="accent1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b2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A8322" w:themeColor="accent6" w:sz="8" w:space="0"/>
        <w:left w:val="single" w:color="4A8322" w:themeColor="accent6" w:sz="8" w:space="0"/>
        <w:bottom w:val="single" w:color="4A8322" w:themeColor="accent6" w:sz="8" w:space="0"/>
        <w:right w:val="single" w:color="4A8322" w:themeColor="accent6" w:sz="8" w:space="0"/>
        <w:insideH w:val="single" w:color="4A8322" w:themeColor="accent6" w:sz="8" w:space="0"/>
        <w:insideV w:val="single" w:color="4A8322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18" w:space="0"/>
          <w:right w:val="single" w:color="4A8322" w:themeColor="accent6" w:sz="8" w:space="0"/>
          <w:insideH w:val="nil"/>
          <w:insideV w:val="single" w:color="4A832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A8322" w:themeColor="accent6" w:sz="6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H w:val="nil"/>
          <w:insideV w:val="single" w:color="4A832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</w:tcPr>
    </w:tblStylePr>
    <w:tblStylePr w:type="band1Vert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</w:tcBorders>
        <w:shd w:val="clear" w:color="auto" w:fill="CFEDBB" w:themeFill="accent6" w:themeFillTint="3f"/>
      </w:tcPr>
    </w:tblStylePr>
    <w:tblStylePr w:type="band1Horz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V w:val="single" w:color="4A8322" w:themeColor="accent6" w:sz="8" w:space="0"/>
        </w:tcBorders>
        <w:shd w:val="clear" w:color="auto" w:fill="CFEDBB" w:themeFill="accent6" w:themeFillTint="3f"/>
      </w:tcPr>
    </w:tblStylePr>
    <w:tblStylePr w:type="band2Horz">
      <w:tblPr/>
      <w:tcPr>
        <w:tcBorders>
          <w:top w:val="single" w:color="4A8322" w:themeColor="accent6" w:sz="8" w:space="0"/>
          <w:left w:val="single" w:color="4A8322" w:themeColor="accent6" w:sz="8" w:space="0"/>
          <w:bottom w:val="single" w:color="4A8322" w:themeColor="accent6" w:sz="8" w:space="0"/>
          <w:right w:val="single" w:color="4A8322" w:themeColor="accent6" w:sz="8" w:space="0"/>
          <w:insideV w:val="single" w:color="4A8322" w:themeColor="accent6" w:sz="8" w:space="0"/>
        </w:tcBorders>
      </w:tcPr>
    </w:tblStylePr>
  </w:style>
  <w:style w:type="table" w:styleId="LightShading-Accent1">
    <w:name w:val="Light Shading Accent 1"/>
    <w:basedOn w:val="TableNormal"/>
    <w:uiPriority w:val="60"/>
    <w:rsid w:val="006e1914"/>
    <w:pPr>
      <w:spacing w:after="0" w:line="240" w:lineRule="auto"/>
    </w:pPr>
    <w:rPr>
      <w:color w:val="BF4C00" w:themeColor="accent1" w:themeShade="bf"/>
    </w:rPr>
    <w:tblPr>
      <w:tblStyleRowBandSize w:val="1"/>
      <w:tblStyleColBandSize w:val="1"/>
      <w:tblInd w:w="0" w:type="dxa"/>
      <w:tblBorders>
        <w:top w:val="single" w:color="FF6600" w:themeColor="accent1" w:sz="8" w:space="0"/>
        <w:bottom w:val="single" w:color="FF6600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600" w:themeColor="accent1" w:sz="8" w:space="0"/>
          <w:left w:val="nil"/>
          <w:bottom w:val="single" w:color="FF66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600" w:themeColor="accent1" w:sz="8" w:space="0"/>
          <w:left w:val="nil"/>
          <w:bottom w:val="single" w:color="FF66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1" w:themeFillTint="3f"/>
      </w:tcPr>
    </w:tblStylePr>
  </w:style>
  <w:style w:type="table" w:customStyle="1" w:styleId="GSKtablestyle">
    <w:name w:val="GSK table style"/>
    <w:basedOn w:val="TableGrid"/>
    <w:uiPriority w:val="99"/>
    <w:rsid w:val="00fe5505"/>
    <w:tblPr>
      <w:tblStyleRow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afterLines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single" w:color="FFFFFF" w:themeColor="background1" w:sz="4" w:space="0"/>
          <w:left w:val="nil"/>
          <w:bottom w:val="single" w:color="FFFFFF" w:themeColor="background1" w:sz="4" w:space="0"/>
          <w:right w:val="nil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FF6600" w:themeFill="background2"/>
        <w:vAlign w:val="top"/>
      </w:tcPr>
    </w:tblStylePr>
    <w:tblStylePr w:type="band1Horz">
      <w:pPr>
        <w:wordWrap/>
        <w:spacing w:beforeLines="0" w:afterLines="0" w:line="240" w:lineRule="auto"/>
        <w:jc w:val="left"/>
      </w:pPr>
      <w:rPr>
        <w:color w:val="635A54" w:themeColor="text1"/>
        <w:sz w:val="20"/>
      </w:rPr>
      <w:tblPr/>
      <w:tcPr>
        <w:tcBorders>
          <w:top w:val="nil"/>
          <w:left w:val="nil"/>
          <w:bottom w:val="single" w:color="635A54" w:themeColor="text1" w:sz="4" w:space="0"/>
          <w:right w:val="nil"/>
          <w:insideV w:val="nil"/>
        </w:tcBorders>
        <w:vAlign w:val="top"/>
      </w:tcPr>
    </w:tblStylePr>
    <w:tblStylePr w:type="band2Horz">
      <w:pPr>
        <w:wordWrap/>
        <w:spacing w:beforeLines="0" w:afterLines="0" w:line="240" w:lineRule="auto"/>
        <w:jc w:val="left"/>
      </w:pPr>
      <w:rPr>
        <w:color w:val="635A54" w:themeColor="text1"/>
        <w:sz w:val="20"/>
      </w:rPr>
      <w:tblPr/>
      <w:tcPr>
        <w:tcBorders>
          <w:top w:val="nil"/>
          <w:left w:val="nil"/>
          <w:bottom w:val="single" w:color="635A54" w:themeColor="text1" w:sz="4" w:space="0"/>
          <w:right w:val="nil"/>
          <w:insideH w:val="nil"/>
          <w:insideV w:val="nil"/>
          <w:tl2br w:val="nil"/>
          <w:tr2bl w:val="nil"/>
        </w:tcBorders>
        <w:vAlign w:val="top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GSK Colour palette">
      <a:dk1>
        <a:srgbClr val="635A54"/>
      </a:dk1>
      <a:lt1>
        <a:srgbClr val="FFFFFF"/>
      </a:lt1>
      <a:dk2>
        <a:srgbClr val="9A8B7D"/>
      </a:dk2>
      <a:lt2>
        <a:srgbClr val="FF6600"/>
      </a:lt2>
      <a:accent1>
        <a:srgbClr val="FF6600"/>
      </a:accent1>
      <a:accent2>
        <a:srgbClr val="635A54"/>
      </a:accent2>
      <a:accent3>
        <a:srgbClr val="9A8B7D"/>
      </a:accent3>
      <a:accent4>
        <a:srgbClr val="00B6C9"/>
      </a:accent4>
      <a:accent5>
        <a:srgbClr val="BE0077"/>
      </a:accent5>
      <a:accent6>
        <a:srgbClr val="4A8322"/>
      </a:accent6>
      <a:hlink>
        <a:srgbClr val="FF6600"/>
      </a:hlink>
      <a:folHlink>
        <a:srgbClr val="9A8B7D"/>
      </a:folHlink>
    </a:clrScheme>
    <a:fontScheme name="GS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DE07-D159-4F38-9B69-92C1F461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LibreOffice/4.4.6.3$Windows_x86 LibreOffice_project/e8938fd3328e95dcf59dd64e7facd2c7d67c704d</Application>
  <Paragraphs>73</Paragraphs>
  <Company>GlaxoSmithKline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2016-04-25T15:49:00Z</dcterms:created>
  <dc:creator>Renata Lehnerova</dc:creator>
  <dc:language>cs-CZ</dc:language>
  <cp:lastModifiedBy>rj78904</cp:lastModifiedBy>
  <cp:lastPrinted>2015-07-02T12:21:00Z</cp:lastPrinted>
  <dcterms:modified xsi:type="dcterms:W3CDTF">2016-04-25T16:10:00Z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GlaxoSmithKline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